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985" w:rsidRPr="00F50985" w:rsidRDefault="00F50985" w:rsidP="00F50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985">
        <w:rPr>
          <w:rFonts w:ascii="Arial" w:eastAsia="Times New Roman" w:hAnsi="Arial" w:cs="Arial"/>
          <w:b/>
          <w:bCs/>
          <w:color w:val="21242D"/>
          <w:sz w:val="32"/>
          <w:szCs w:val="32"/>
          <w:shd w:val="clear" w:color="auto" w:fill="FFFFFF"/>
        </w:rPr>
        <w:t>Порядок работы с обращением граждан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</w:r>
    </w:p>
    <w:p w:rsidR="00F50985" w:rsidRPr="00F50985" w:rsidRDefault="00F50985" w:rsidP="00F5098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Порядок работы с обращениями граждан</w:t>
      </w:r>
    </w:p>
    <w:p w:rsidR="00F50985" w:rsidRPr="00F50985" w:rsidRDefault="00F50985" w:rsidP="00F5098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(определен в соответствии с Федеральным законом от 2 мая 2006 г. N 59-ФЗ "О порядке рассмотрения обращений граждан Российской Федерации")</w:t>
      </w:r>
    </w:p>
    <w:p w:rsidR="00F50985" w:rsidRPr="00F50985" w:rsidRDefault="00F50985" w:rsidP="00F5098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Статья 10. Рассмотрение обращения</w:t>
      </w:r>
    </w:p>
    <w:p w:rsidR="00F50985" w:rsidRPr="00F50985" w:rsidRDefault="00F50985" w:rsidP="00F50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1. 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Государственный орган, орган местного самоуправления или должностное лицо: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2) запрашивает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3) принимает меры, направленные на восстановление или защиту нарушенных прав, свобод и законных интересов гражданина;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4) дает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 xml:space="preserve">2. 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lastRenderedPageBreak/>
        <w:t>предоставления.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4. Ответ на обращение, поступившее в государственный орган, орган местного самоуправления или должностному лицу по информационным системам общего пользования, направляется по почтовому адресу, указанному в обращении.</w:t>
      </w:r>
    </w:p>
    <w:p w:rsidR="00F50985" w:rsidRPr="00F50985" w:rsidRDefault="00F50985" w:rsidP="00F5098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Статья 11. Порядок рассмотрения отдельных обращений</w:t>
      </w:r>
    </w:p>
    <w:p w:rsidR="00F50985" w:rsidRPr="00F50985" w:rsidRDefault="00F50985" w:rsidP="00F50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1. В случае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,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2.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 xml:space="preserve">3. 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4.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В случае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,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lastRenderedPageBreak/>
        <w:t>почтовый адрес поддаются прочтению.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5. В случае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,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6. В случае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,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>7. В случае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,</w:t>
      </w:r>
      <w:proofErr w:type="gramEnd"/>
      <w:r w:rsidRPr="00F50985">
        <w:rPr>
          <w:rFonts w:ascii="Arial" w:eastAsia="Times New Roman" w:hAnsi="Arial" w:cs="Arial"/>
          <w:color w:val="21242D"/>
          <w:sz w:val="32"/>
          <w:szCs w:val="32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50985" w:rsidRPr="00F50985" w:rsidRDefault="00F50985" w:rsidP="00F50985">
      <w:pPr>
        <w:shd w:val="clear" w:color="auto" w:fill="FFFFFF"/>
        <w:spacing w:before="240" w:after="24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Статья 12. Сроки рассмотрения письменного обращения</w:t>
      </w:r>
    </w:p>
    <w:p w:rsidR="00F50985" w:rsidRPr="00F50985" w:rsidRDefault="00F50985" w:rsidP="00F509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  <w:r w:rsidRPr="00F50985">
        <w:rPr>
          <w:rFonts w:ascii="Arial" w:eastAsia="Times New Roman" w:hAnsi="Arial" w:cs="Arial"/>
          <w:color w:val="21242D"/>
          <w:sz w:val="32"/>
          <w:szCs w:val="32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br/>
        <w:t xml:space="preserve">2.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местного самоуправления, должностное лицо </w:t>
      </w:r>
      <w:r w:rsidRPr="00F50985">
        <w:rPr>
          <w:rFonts w:ascii="Arial" w:eastAsia="Times New Roman" w:hAnsi="Arial" w:cs="Arial"/>
          <w:color w:val="21242D"/>
          <w:sz w:val="32"/>
          <w:szCs w:val="32"/>
        </w:rPr>
        <w:lastRenderedPageBreak/>
        <w:t xml:space="preserve">либо уполномоченное на то лицо вправе </w:t>
      </w:r>
      <w:proofErr w:type="gramStart"/>
      <w:r w:rsidRPr="00F50985">
        <w:rPr>
          <w:rFonts w:ascii="Arial" w:eastAsia="Times New Roman" w:hAnsi="Arial" w:cs="Arial"/>
          <w:color w:val="21242D"/>
          <w:sz w:val="32"/>
          <w:szCs w:val="32"/>
        </w:rPr>
        <w:t>продлить срок рассмотрен</w:t>
      </w:r>
      <w:proofErr w:type="gramEnd"/>
    </w:p>
    <w:p w:rsidR="00000000" w:rsidRDefault="00F5098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F50985"/>
    <w:rsid w:val="00F5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4703</Characters>
  <Application>Microsoft Office Word</Application>
  <DocSecurity>0</DocSecurity>
  <Lines>39</Lines>
  <Paragraphs>11</Paragraphs>
  <ScaleCrop>false</ScaleCrop>
  <Company>Grizli777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2025-02-13T05:54:00Z</dcterms:created>
  <dcterms:modified xsi:type="dcterms:W3CDTF">2025-02-13T05:55:00Z</dcterms:modified>
</cp:coreProperties>
</file>