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2D" w:rsidRPr="00C83D2D" w:rsidRDefault="00C83D2D" w:rsidP="00C83D2D">
      <w:pPr>
        <w:shd w:val="clear" w:color="auto" w:fill="FFFFFF"/>
        <w:spacing w:after="340" w:line="64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60"/>
          <w:szCs w:val="60"/>
        </w:rPr>
      </w:pPr>
      <w:r w:rsidRPr="00C83D2D">
        <w:rPr>
          <w:rFonts w:ascii="Arial" w:eastAsia="Times New Roman" w:hAnsi="Arial" w:cs="Arial"/>
          <w:b/>
          <w:bCs/>
          <w:color w:val="4D4D4D"/>
          <w:kern w:val="36"/>
          <w:sz w:val="60"/>
          <w:szCs w:val="60"/>
        </w:rPr>
        <w:t xml:space="preserve">Приказ Министерства здравоохранения РФ от 29 марта 2021 г. N 262 "Об утверждении информационно-коммуникационной стратегии по борьбе с потреблением табака или потреблением </w:t>
      </w:r>
      <w:proofErr w:type="spellStart"/>
      <w:r w:rsidRPr="00C83D2D">
        <w:rPr>
          <w:rFonts w:ascii="Arial" w:eastAsia="Times New Roman" w:hAnsi="Arial" w:cs="Arial"/>
          <w:b/>
          <w:bCs/>
          <w:color w:val="4D4D4D"/>
          <w:kern w:val="36"/>
          <w:sz w:val="60"/>
          <w:szCs w:val="6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b/>
          <w:bCs/>
          <w:color w:val="4D4D4D"/>
          <w:kern w:val="36"/>
          <w:sz w:val="60"/>
          <w:szCs w:val="60"/>
        </w:rPr>
        <w:t xml:space="preserve"> продукции на период до 2030 года"</w:t>
      </w:r>
    </w:p>
    <w:p w:rsidR="00C83D2D" w:rsidRPr="00C83D2D" w:rsidRDefault="00C83D2D" w:rsidP="00C83D2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83D2D">
        <w:rPr>
          <w:rFonts w:ascii="Arial" w:eastAsia="Times New Roman" w:hAnsi="Arial" w:cs="Arial"/>
          <w:color w:val="333333"/>
          <w:sz w:val="28"/>
          <w:szCs w:val="28"/>
        </w:rPr>
        <w:t>28 апреля 2021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bookmarkStart w:id="0" w:name="0"/>
      <w:bookmarkEnd w:id="0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В соответствии с частью 3 статьи 15 Федерального закона от 23 февраля 2013 г. N 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продукции" (Собрание законодательства Российской Федерации, 2013, N 8, ст. 721; 2020, N 31, ст. 5062) приказываю: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1. Утвердить прилагаемую </w:t>
      </w:r>
      <w:hyperlink r:id="rId4" w:anchor="1000" w:history="1">
        <w:r w:rsidRPr="00C83D2D">
          <w:rPr>
            <w:rFonts w:ascii="Arial" w:eastAsia="Times New Roman" w:hAnsi="Arial" w:cs="Arial"/>
            <w:color w:val="808080"/>
            <w:sz w:val="30"/>
            <w:u w:val="single"/>
          </w:rPr>
          <w:t>информационно-коммуникационную стратегию</w:t>
        </w:r>
      </w:hyperlink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 по борьбе с потреблением табака или потреблением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 на период до 2030 года.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2. Признать утратившим силу приказ Министерства здравоохранения Российской Федерации от 30 сентября 2013 г. N 677 "Об утверждении Информационно-коммуникационной стратегии по формированию здорового образа жизни, борьбе с потреблением алкоголя и табака, предупреждению </w:t>
      </w:r>
      <w:r w:rsidRPr="00C83D2D">
        <w:rPr>
          <w:rFonts w:ascii="Arial" w:eastAsia="Times New Roman" w:hAnsi="Arial" w:cs="Arial"/>
          <w:color w:val="333333"/>
          <w:sz w:val="30"/>
          <w:szCs w:val="30"/>
        </w:rPr>
        <w:lastRenderedPageBreak/>
        <w:t>и борьбе с немедицинским потреблением наркотических средств и психотропных веществ на период до 2020 года".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"/>
        <w:gridCol w:w="1579"/>
      </w:tblGrid>
      <w:tr w:rsidR="00C83D2D" w:rsidRPr="00C83D2D" w:rsidTr="00C83D2D">
        <w:tc>
          <w:tcPr>
            <w:tcW w:w="2500" w:type="pct"/>
            <w:hideMark/>
          </w:tcPr>
          <w:p w:rsidR="00C83D2D" w:rsidRPr="00C83D2D" w:rsidRDefault="00C83D2D" w:rsidP="00C8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2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hideMark/>
          </w:tcPr>
          <w:p w:rsidR="00C83D2D" w:rsidRPr="00C83D2D" w:rsidRDefault="00C83D2D" w:rsidP="00C8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2D">
              <w:rPr>
                <w:rFonts w:ascii="Times New Roman" w:eastAsia="Times New Roman" w:hAnsi="Times New Roman" w:cs="Times New Roman"/>
                <w:sz w:val="24"/>
                <w:szCs w:val="24"/>
              </w:rPr>
              <w:t>М.А. Мурашко</w:t>
            </w:r>
          </w:p>
        </w:tc>
      </w:tr>
    </w:tbl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УТВЕРЖДЕНО</w:t>
      </w:r>
      <w:r w:rsidRPr="00C83D2D">
        <w:rPr>
          <w:rFonts w:ascii="Arial" w:eastAsia="Times New Roman" w:hAnsi="Arial" w:cs="Arial"/>
          <w:color w:val="333333"/>
          <w:sz w:val="30"/>
          <w:szCs w:val="30"/>
        </w:rPr>
        <w:br/>
      </w:r>
      <w:hyperlink r:id="rId5" w:anchor="0" w:history="1">
        <w:r w:rsidRPr="00C83D2D">
          <w:rPr>
            <w:rFonts w:ascii="Arial" w:eastAsia="Times New Roman" w:hAnsi="Arial" w:cs="Arial"/>
            <w:color w:val="808080"/>
            <w:sz w:val="30"/>
            <w:u w:val="single"/>
          </w:rPr>
          <w:t>приказом</w:t>
        </w:r>
      </w:hyperlink>
      <w:r w:rsidRPr="00C83D2D">
        <w:rPr>
          <w:rFonts w:ascii="Arial" w:eastAsia="Times New Roman" w:hAnsi="Arial" w:cs="Arial"/>
          <w:color w:val="333333"/>
          <w:sz w:val="30"/>
          <w:szCs w:val="30"/>
        </w:rPr>
        <w:t> Министерства здравоохранения</w:t>
      </w:r>
      <w:r w:rsidRPr="00C83D2D">
        <w:rPr>
          <w:rFonts w:ascii="Arial" w:eastAsia="Times New Roman" w:hAnsi="Arial" w:cs="Arial"/>
          <w:color w:val="333333"/>
          <w:sz w:val="30"/>
          <w:szCs w:val="30"/>
        </w:rPr>
        <w:br/>
        <w:t>Российской Федерации</w:t>
      </w:r>
      <w:r w:rsidRPr="00C83D2D">
        <w:rPr>
          <w:rFonts w:ascii="Arial" w:eastAsia="Times New Roman" w:hAnsi="Arial" w:cs="Arial"/>
          <w:color w:val="333333"/>
          <w:sz w:val="30"/>
          <w:szCs w:val="30"/>
        </w:rPr>
        <w:br/>
        <w:t>от 29 марта 2021 г. N 262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outlineLvl w:val="2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C83D2D">
        <w:rPr>
          <w:rFonts w:ascii="Arial" w:eastAsia="Times New Roman" w:hAnsi="Arial" w:cs="Arial"/>
          <w:b/>
          <w:bCs/>
          <w:color w:val="333333"/>
          <w:sz w:val="34"/>
          <w:szCs w:val="34"/>
        </w:rPr>
        <w:t xml:space="preserve">Информационно-коммуникационная стратегия по борьбе с потреблением табака или потреблением </w:t>
      </w:r>
      <w:proofErr w:type="spellStart"/>
      <w:r w:rsidRPr="00C83D2D">
        <w:rPr>
          <w:rFonts w:ascii="Arial" w:eastAsia="Times New Roman" w:hAnsi="Arial" w:cs="Arial"/>
          <w:b/>
          <w:bCs/>
          <w:color w:val="333333"/>
          <w:sz w:val="34"/>
          <w:szCs w:val="34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b/>
          <w:bCs/>
          <w:color w:val="333333"/>
          <w:sz w:val="34"/>
          <w:szCs w:val="34"/>
        </w:rPr>
        <w:t xml:space="preserve"> продукции на период до 2030 года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outlineLvl w:val="2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C83D2D">
        <w:rPr>
          <w:rFonts w:ascii="Arial" w:eastAsia="Times New Roman" w:hAnsi="Arial" w:cs="Arial"/>
          <w:b/>
          <w:bCs/>
          <w:color w:val="333333"/>
          <w:sz w:val="34"/>
          <w:szCs w:val="34"/>
        </w:rPr>
        <w:t>I. Общие положения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Информационно-коммуникационная стратегия по борьбе с потреблением табака или потреблением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 на период до 2030 года (далее - Стратегия) определяет цели, задачи и принципы государственной политики Российской Федерации в области информирования граждан о вреде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Правовую основу Стратегии составляют Конституция Российской Федерации, федеральные законы "Об основах охраны здоровья граждан в Российской Федерации", "О стратегическом планировании в Российской Федерации",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продукции", Указ Президента Российской Федерации от 31 декабря 2015 г. N 683 "О Стратегии национальной безопасности Российской Федерации", Концепция осуществления государственной политики</w:t>
      </w:r>
      <w:proofErr w:type="gram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противодействия потреблению табака и иной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 в Российской Федерации на период до </w:t>
      </w:r>
      <w:r w:rsidRPr="00C83D2D">
        <w:rPr>
          <w:rFonts w:ascii="Arial" w:eastAsia="Times New Roman" w:hAnsi="Arial" w:cs="Arial"/>
          <w:color w:val="333333"/>
          <w:sz w:val="30"/>
          <w:szCs w:val="30"/>
        </w:rPr>
        <w:lastRenderedPageBreak/>
        <w:t xml:space="preserve">2035 года и дальнейшую перспективу, </w:t>
      </w:r>
      <w:proofErr w:type="gram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утвержденная</w:t>
      </w:r>
      <w:proofErr w:type="gram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распоряжением Правительства Российской Федерации от 18 ноября 2019 г. N 2732-р, а также иные правовые акты и документы, в том числе документы Всемирной организации здравоохранения.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outlineLvl w:val="2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C83D2D">
        <w:rPr>
          <w:rFonts w:ascii="Arial" w:eastAsia="Times New Roman" w:hAnsi="Arial" w:cs="Arial"/>
          <w:b/>
          <w:bCs/>
          <w:color w:val="333333"/>
          <w:sz w:val="34"/>
          <w:szCs w:val="34"/>
        </w:rPr>
        <w:t xml:space="preserve">II. Современное состояние проблемы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b/>
          <w:bCs/>
          <w:color w:val="333333"/>
          <w:sz w:val="34"/>
          <w:szCs w:val="34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b/>
          <w:bCs/>
          <w:color w:val="333333"/>
          <w:sz w:val="34"/>
          <w:szCs w:val="34"/>
        </w:rPr>
        <w:t xml:space="preserve"> продукции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Согласно прогнозу долгосрочного социально-экономического развития Российской Федерации на период до 2030 года, разработанному Министерством экономического развития Российской Федерации, акцент государственной демографической </w:t>
      </w:r>
      <w:proofErr w:type="gram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политики на формирование</w:t>
      </w:r>
      <w:proofErr w:type="gram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здорового образа жизни, осуществление мер по снижению масштабов потребления табачной продукции и профилактику курения табака позволит сократить показатели смертности.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Потребление табака является причиной возникновения заболеваний, связанных с его воздействием на организм, приводящим к инвалидности и преждевременной смертности, и создает социально-экономическое бремя для системы здравоохранения и общества в целом.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Ключевым компонентом табака, вызывающим и поддерживающим зависимость, является никотин. Международной статистической классификацией болезней и проблем, связанных со здоровьем, табачная (никотиновая) зависимость, являющаяся следствием потребления табака, признана заболеванием, связанным с расстройством поведения.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По данным Всемирной организации здравоохранения, потребление табака является одной из значимых угроз для здоровья человека и ежегодно приводит почти к 7 </w:t>
      </w:r>
      <w:proofErr w:type="spellStart"/>
      <w:proofErr w:type="gram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млн</w:t>
      </w:r>
      <w:proofErr w:type="spellEnd"/>
      <w:proofErr w:type="gram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случаев смерти, из которых более 6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млн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случаев происходит среди потребителей и бывших потребителей табака и более 890 тыс. случаев - среди некурящих людей, подвергающихся воздействию вторичного табачного дыма. </w:t>
      </w:r>
      <w:r w:rsidRPr="00C83D2D">
        <w:rPr>
          <w:rFonts w:ascii="Arial" w:eastAsia="Times New Roman" w:hAnsi="Arial" w:cs="Arial"/>
          <w:color w:val="333333"/>
          <w:sz w:val="30"/>
          <w:szCs w:val="30"/>
        </w:rPr>
        <w:lastRenderedPageBreak/>
        <w:t>Потребление табака представляет существенную угрозу для здоровья граждан Российской Федерации и влечет за собой негативные медицинские, демографические и другие социально-экономические последствия.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Согласно данным глобального опроса взрослого населения Российской Федерации о потреблении табака, проведенного в 2016 году (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Global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Adult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Tobacco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Survey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(GATS), Российская Федерация, 2016 год), реализация Федерального закона от 23 февраля 2013 г. N 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продукции" (далее - Федеральный закон N 15-ФЗ) привела к снижению распространенности потребления</w:t>
      </w:r>
      <w:proofErr w:type="gram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табака среди взрослого населения Российской Федерации с 39,4% в 2009 году до 30,9% в 2016 году. Кроме того, в 2 раза снизилась распространенность пассивного курения дома, а в общественных местах - в 2,5 раза. В среднем в 2 раза снизилась доступность табачных изделий.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По данным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табака, предусмотренных Федеральным законом N 15-ФЗ (далее - мониторинг), потребление табака в Российской Федерации ежегодно снижается. Согласно данным Федеральной службы государственной статистики распространенность курения табака среди взрослого населения старше 15 лет снизилась, с 34% в 2009 году до 21,5% в 2020 году. По данным Всероссийского центра исследования общественного мнения, распространенность потребления табака среди взрослого населения в России снизилась с 41% в 2009 г. до 28% в 2020 году.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Благодаря снижению спроса на табачную продукцию в связи с проведением законодательных антитабачных мер объем производства табачной продукции, начиная с 2013 года, снижается (по </w:t>
      </w:r>
      <w:r w:rsidRPr="00C83D2D">
        <w:rPr>
          <w:rFonts w:ascii="Arial" w:eastAsia="Times New Roman" w:hAnsi="Arial" w:cs="Arial"/>
          <w:color w:val="333333"/>
          <w:sz w:val="30"/>
          <w:szCs w:val="30"/>
        </w:rPr>
        <w:lastRenderedPageBreak/>
        <w:t xml:space="preserve">сравнению с 2010 годом производство сигарет и папирос в России в 2018 году снизилось на 147,4 </w:t>
      </w:r>
      <w:proofErr w:type="spellStart"/>
      <w:proofErr w:type="gram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млрд</w:t>
      </w:r>
      <w:proofErr w:type="spellEnd"/>
      <w:proofErr w:type="gram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штук, или на 36,5%).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По данным Федеральной службы государственной статистики, продажа сигарет на душу населения снизилась с 2,5 тыс. штук в год на человека в 2012 году до 1,6 тыс. штук в год на человека в 2018 году.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Указанные данные свидетельствуют о том, что в обществе достаточно прочно укрепилась необходимость соблюдения установленных антитабачных мер, а также о том, что в целом антитабачное законодательство работает эффективно. Однако показатели распространенности курения в России все еще остаются высокими. Для сравнения, в странах Европейского союза, по данным Всемирной организации здравоохранения, распространенность курения составила в среднем 24%. Более того, распространение получают новые виды курительных табачных изделий, потребляемых с помощью специально разработанной курительной принадлежности - устройства для нагревания табака, а также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никотинсодержащая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продукция. Такая продукция приобрела популярность, особенно среди молодежи, в том числе ранее не потреблявшей табачные изделия или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никотинсодержащую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продукцию. Так, по данным мониторинга, в настоящее время происходит рост потребления такого вида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продукции, как электронные системы доставки никотина, в том числе среди детей и подростков. Распространенность потребления такого вида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 среди лиц 18-24 лет составляет 19,1%, что более чем в 10 раз выше, чем во всех остальных возрастных группах.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Таким образом, с учетом того, что сохраняется проблема достаточно высокого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продукции, Правительством Российской Федерации реализуется ряд мер, наиболее эффективными из которых являются меры нормативного регулирования оборота и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продукции. Кроме того, широко используются меры по информированию населения о вреде потребления табака или </w:t>
      </w:r>
      <w:r w:rsidRPr="00C83D2D">
        <w:rPr>
          <w:rFonts w:ascii="Arial" w:eastAsia="Times New Roman" w:hAnsi="Arial" w:cs="Arial"/>
          <w:color w:val="333333"/>
          <w:sz w:val="30"/>
          <w:szCs w:val="30"/>
        </w:rPr>
        <w:lastRenderedPageBreak/>
        <w:t xml:space="preserve">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продукции, в том числе за счет проведения широкомасштабных информационных кампаний. С 2019 года данная работа проводится в рамках мероприятий информационно-коммуникационной кампании федерального проекта "Формирование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здоровья)" национального проекта "Демография".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outlineLvl w:val="2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C83D2D">
        <w:rPr>
          <w:rFonts w:ascii="Arial" w:eastAsia="Times New Roman" w:hAnsi="Arial" w:cs="Arial"/>
          <w:b/>
          <w:bCs/>
          <w:color w:val="333333"/>
          <w:sz w:val="34"/>
          <w:szCs w:val="34"/>
        </w:rPr>
        <w:t>III. Цель и задачи Стратегии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Целью Стратегии является снижение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 путем проведения информационных мероприятий для населения.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Основными задачами Стратегии являются: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повышение уровня информированности граждан в отношении негативных последствий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мотивирование граждан к ведению здорового образа жизни и отказу от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outlineLvl w:val="2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C83D2D">
        <w:rPr>
          <w:rFonts w:ascii="Arial" w:eastAsia="Times New Roman" w:hAnsi="Arial" w:cs="Arial"/>
          <w:b/>
          <w:bCs/>
          <w:color w:val="333333"/>
          <w:sz w:val="34"/>
          <w:szCs w:val="34"/>
        </w:rPr>
        <w:t>IV. Основные направления решения задач Стратегии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Основными направлениями решения задач Стратегии являются: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1. Повышение уровня информированности граждан о негативных последствиях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 посредством реализации мероприятий информационно-коммуникационной кампании, включающих: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lastRenderedPageBreak/>
        <w:t xml:space="preserve">информирование населения Российской Федерации о негативных последствиях для здоровья, связанных с потреблением табака или потреблением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формирование в обществе негативного отношения к потреблению табака или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противодействие вовлечению несовершеннолетних в потребление табачной или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 посредством информирования;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информирование об используемых табачной индустрией методах вовлечения новых потребителей, маркетинговых стратегиях, противодействие скрытой рекламе табачной или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предоставление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таргетированной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информации о негативных последствиях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 для отдельных групп риска: беременных, лиц с ограниченными возможностями здоровья;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распространение новых научных данных о вреде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проведение акций с участием волонтеров, направленных на информирование о негативных последствиях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проведение открытых уроков в образовательных организациях по информированию школьников и студентов о негативных последствиях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lastRenderedPageBreak/>
        <w:t xml:space="preserve">информирование населения Российской Федерации о реализуемых в настоящее время мерах по сокращению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 в рамках государственной политики в сфере здравоохранения.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2. Мотивирование граждан к ведению здорового образа жизни и отказу от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продукции: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информирование о преимуществах прекращения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продукции, о возможных альтернативах курению;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информирование населения Российской Федерации о существующих способах и возможностях по прекращению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продукции, лечению табачной (никотиновой) зависимости, последствий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продукции, в том числе посредством размещения информационных материалов в медицинских организациях;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предоставление информации общественности обо всех ингредиентах, входящих в состав табачной или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продукции, их токсическом действии на организм.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outlineLvl w:val="2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C83D2D">
        <w:rPr>
          <w:rFonts w:ascii="Arial" w:eastAsia="Times New Roman" w:hAnsi="Arial" w:cs="Arial"/>
          <w:b/>
          <w:bCs/>
          <w:color w:val="333333"/>
          <w:sz w:val="34"/>
          <w:szCs w:val="34"/>
        </w:rPr>
        <w:t>V. Механизм реализации Стратегии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Важным направлением в борьбе с потреблением табака или потреблением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 является регулярное информирование населения Российской Федерации с привлечением экспертов и лидеров общественного мнения, как на федеральном, так и на региональном уровнях, включающее инициацию регулярных информационных сообщений, комментариев в средствах массовой информации, а также проведение широкомасштабных информационных кампаний.</w:t>
      </w:r>
      <w:proofErr w:type="gramEnd"/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C83D2D">
        <w:rPr>
          <w:rFonts w:ascii="Arial" w:eastAsia="Times New Roman" w:hAnsi="Arial" w:cs="Arial"/>
          <w:color w:val="333333"/>
          <w:sz w:val="30"/>
          <w:szCs w:val="30"/>
        </w:rPr>
        <w:lastRenderedPageBreak/>
        <w:t xml:space="preserve">Достоверная экспертная информация о здоровом образе жизни, в том числе о рисках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продукции, размещается на официальном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интернет-портале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Министерства здравоохранения Российской Федерации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takzdorovo.ru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>.</w:t>
      </w:r>
      <w:proofErr w:type="gramEnd"/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Консультирование граждан Российской Федерации об оказании медицинской помощи, направленной на прекращение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продукции, лечение табачной (никотиновой) зависимости и последствий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продукции, о преимуществах прекращения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продукции, об отрицательных медицинских, демографических и социально-экономических последствиях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 осуществляется круглосуточно Консультативным телефонным центром помощи в отказе от</w:t>
      </w:r>
      <w:proofErr w:type="gram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 Министерства здравоохранения Российской Федерации в соответствии с законодательством Российской Федерации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продукции, Рамочной конвенции ВОЗ по борьбе против табака, а также с учетом рекомендаций и руково</w:t>
      </w:r>
      <w:proofErr w:type="gram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дств Вс</w:t>
      </w:r>
      <w:proofErr w:type="gramEnd"/>
      <w:r w:rsidRPr="00C83D2D">
        <w:rPr>
          <w:rFonts w:ascii="Arial" w:eastAsia="Times New Roman" w:hAnsi="Arial" w:cs="Arial"/>
          <w:color w:val="333333"/>
          <w:sz w:val="30"/>
          <w:szCs w:val="30"/>
        </w:rPr>
        <w:t>емирной организации здравоохранения.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Информирование населения посредством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таргетных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информационных кампаний осуществляется: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а) с использованием следующих каналов: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федеральное и региональное телевидение;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федеральное и региональное радио;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информационно-телекоммуникационная сеть "Интернет";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lastRenderedPageBreak/>
        <w:t>социальные сети;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печатные средства массовой информации;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средства наружной рекламы;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реклама в общественном транспорте;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посредством культурно-массовых мероприятий;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научная и учебная литература (учебники, учебные пособия и другие);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в рамках диспансеризации населения;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активная просветительская деятельность медицинских работников первичного звена;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расширение участия молодежных, общественных, религиозных организаций и профессиональных сообществ в информировании населения;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популяционная и методическая работа центров общественного здоровья и медицинской профилактики;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б) с применением способов подачи информации, направленных на привлечение внимания, включая короткие сообщения (заставки, в том числе между программами, баннеры), для более полного и детального информирования - длинные форматы (программы, сюжеты, интервью с экспертами и лидерами общественного мнения).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lastRenderedPageBreak/>
        <w:t>Реализация комплексных интегрированных интерактивных проектов, включающих максимальное количество задействованных каналов коммуникации, позволяет достичь максимального эффекта с учетом запросов различных целевых групп.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Значения показателей эффективности реализации Стратегии приведены в </w:t>
      </w:r>
      <w:hyperlink r:id="rId6" w:anchor="11000" w:history="1">
        <w:r w:rsidRPr="00C83D2D">
          <w:rPr>
            <w:rFonts w:ascii="Arial" w:eastAsia="Times New Roman" w:hAnsi="Arial" w:cs="Arial"/>
            <w:color w:val="808080"/>
            <w:sz w:val="30"/>
            <w:u w:val="single"/>
          </w:rPr>
          <w:t>приложении</w:t>
        </w:r>
      </w:hyperlink>
      <w:r w:rsidRPr="00C83D2D">
        <w:rPr>
          <w:rFonts w:ascii="Arial" w:eastAsia="Times New Roman" w:hAnsi="Arial" w:cs="Arial"/>
          <w:color w:val="333333"/>
          <w:sz w:val="30"/>
          <w:szCs w:val="30"/>
        </w:rPr>
        <w:t>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outlineLvl w:val="2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C83D2D">
        <w:rPr>
          <w:rFonts w:ascii="Arial" w:eastAsia="Times New Roman" w:hAnsi="Arial" w:cs="Arial"/>
          <w:b/>
          <w:bCs/>
          <w:color w:val="333333"/>
          <w:sz w:val="34"/>
          <w:szCs w:val="34"/>
        </w:rPr>
        <w:t>VII. Итоги реализации Стратегии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В результате реализации Стратегии ожидается: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повышение информированности населения Российской Федерации об основных последствиях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продукции, факторах риска развития хронических неинфекционных заболеваний, а также о существующих возможностях для их диагностики и коррекции;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снижение распространенности потребления табака или потребления </w:t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продукции.</w:t>
      </w:r>
    </w:p>
    <w:p w:rsidR="00C83D2D" w:rsidRPr="00C83D2D" w:rsidRDefault="00C83D2D" w:rsidP="00C83D2D">
      <w:pPr>
        <w:shd w:val="clear" w:color="auto" w:fill="FFFFFF"/>
        <w:spacing w:after="340" w:line="360" w:lineRule="atLeast"/>
        <w:rPr>
          <w:rFonts w:ascii="Arial" w:eastAsia="Times New Roman" w:hAnsi="Arial" w:cs="Arial"/>
          <w:color w:val="333333"/>
          <w:sz w:val="30"/>
          <w:szCs w:val="30"/>
        </w:rPr>
      </w:pPr>
      <w:r w:rsidRPr="00C83D2D">
        <w:rPr>
          <w:rFonts w:ascii="Arial" w:eastAsia="Times New Roman" w:hAnsi="Arial" w:cs="Arial"/>
          <w:color w:val="333333"/>
          <w:sz w:val="30"/>
          <w:szCs w:val="30"/>
        </w:rPr>
        <w:t>Приложение</w:t>
      </w:r>
      <w:r w:rsidRPr="00C83D2D">
        <w:rPr>
          <w:rFonts w:ascii="Arial" w:eastAsia="Times New Roman" w:hAnsi="Arial" w:cs="Arial"/>
          <w:color w:val="333333"/>
          <w:sz w:val="30"/>
          <w:szCs w:val="30"/>
        </w:rPr>
        <w:br/>
        <w:t>к </w:t>
      </w:r>
      <w:hyperlink r:id="rId7" w:anchor="1000" w:history="1">
        <w:r w:rsidRPr="00C83D2D">
          <w:rPr>
            <w:rFonts w:ascii="Arial" w:eastAsia="Times New Roman" w:hAnsi="Arial" w:cs="Arial"/>
            <w:color w:val="808080"/>
            <w:sz w:val="30"/>
            <w:u w:val="single"/>
          </w:rPr>
          <w:t>информационно-коммуникационной</w:t>
        </w:r>
        <w:r w:rsidRPr="00C83D2D">
          <w:rPr>
            <w:rFonts w:ascii="Arial" w:eastAsia="Times New Roman" w:hAnsi="Arial" w:cs="Arial"/>
            <w:color w:val="808080"/>
            <w:sz w:val="30"/>
            <w:szCs w:val="30"/>
            <w:u w:val="single"/>
            <w:bdr w:val="none" w:sz="0" w:space="0" w:color="auto" w:frame="1"/>
          </w:rPr>
          <w:br/>
        </w:r>
        <w:r w:rsidRPr="00C83D2D">
          <w:rPr>
            <w:rFonts w:ascii="Arial" w:eastAsia="Times New Roman" w:hAnsi="Arial" w:cs="Arial"/>
            <w:color w:val="808080"/>
            <w:sz w:val="30"/>
            <w:u w:val="single"/>
          </w:rPr>
          <w:t>стратегии</w:t>
        </w:r>
      </w:hyperlink>
      <w:r w:rsidRPr="00C83D2D">
        <w:rPr>
          <w:rFonts w:ascii="Arial" w:eastAsia="Times New Roman" w:hAnsi="Arial" w:cs="Arial"/>
          <w:color w:val="333333"/>
          <w:sz w:val="30"/>
          <w:szCs w:val="30"/>
        </w:rPr>
        <w:t> по борьбе с потреблением</w:t>
      </w:r>
      <w:r w:rsidRPr="00C83D2D">
        <w:rPr>
          <w:rFonts w:ascii="Arial" w:eastAsia="Times New Roman" w:hAnsi="Arial" w:cs="Arial"/>
          <w:color w:val="333333"/>
          <w:sz w:val="30"/>
          <w:szCs w:val="30"/>
        </w:rPr>
        <w:br/>
        <w:t>табака или потреблением</w:t>
      </w:r>
      <w:r w:rsidRPr="00C83D2D">
        <w:rPr>
          <w:rFonts w:ascii="Arial" w:eastAsia="Times New Roman" w:hAnsi="Arial" w:cs="Arial"/>
          <w:color w:val="333333"/>
          <w:sz w:val="30"/>
          <w:szCs w:val="30"/>
        </w:rPr>
        <w:br/>
      </w:r>
      <w:proofErr w:type="spellStart"/>
      <w:r w:rsidRPr="00C83D2D">
        <w:rPr>
          <w:rFonts w:ascii="Arial" w:eastAsia="Times New Roman" w:hAnsi="Arial" w:cs="Arial"/>
          <w:color w:val="333333"/>
          <w:sz w:val="30"/>
          <w:szCs w:val="30"/>
        </w:rPr>
        <w:t>никотинсодержащей</w:t>
      </w:r>
      <w:proofErr w:type="spellEnd"/>
      <w:r w:rsidRPr="00C83D2D">
        <w:rPr>
          <w:rFonts w:ascii="Arial" w:eastAsia="Times New Roman" w:hAnsi="Arial" w:cs="Arial"/>
          <w:color w:val="333333"/>
          <w:sz w:val="30"/>
          <w:szCs w:val="30"/>
        </w:rPr>
        <w:t xml:space="preserve"> продукции</w:t>
      </w:r>
      <w:r w:rsidRPr="00C83D2D">
        <w:rPr>
          <w:rFonts w:ascii="Arial" w:eastAsia="Times New Roman" w:hAnsi="Arial" w:cs="Arial"/>
          <w:color w:val="333333"/>
          <w:sz w:val="30"/>
          <w:szCs w:val="30"/>
        </w:rPr>
        <w:br/>
        <w:t>на период до 2030 года,</w:t>
      </w:r>
      <w:r w:rsidRPr="00C83D2D">
        <w:rPr>
          <w:rFonts w:ascii="Arial" w:eastAsia="Times New Roman" w:hAnsi="Arial" w:cs="Arial"/>
          <w:color w:val="333333"/>
          <w:sz w:val="30"/>
          <w:szCs w:val="30"/>
        </w:rPr>
        <w:br/>
        <w:t>утвержденной </w:t>
      </w:r>
      <w:hyperlink r:id="rId8" w:anchor="0" w:history="1">
        <w:r w:rsidRPr="00C83D2D">
          <w:rPr>
            <w:rFonts w:ascii="Arial" w:eastAsia="Times New Roman" w:hAnsi="Arial" w:cs="Arial"/>
            <w:color w:val="808080"/>
            <w:sz w:val="30"/>
            <w:u w:val="single"/>
          </w:rPr>
          <w:t>приказом</w:t>
        </w:r>
      </w:hyperlink>
      <w:r w:rsidRPr="00C83D2D">
        <w:rPr>
          <w:rFonts w:ascii="Arial" w:eastAsia="Times New Roman" w:hAnsi="Arial" w:cs="Arial"/>
          <w:color w:val="333333"/>
          <w:sz w:val="30"/>
          <w:szCs w:val="30"/>
        </w:rPr>
        <w:br/>
        <w:t>Министерства здравоохранения</w:t>
      </w:r>
      <w:r w:rsidRPr="00C83D2D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C83D2D">
        <w:rPr>
          <w:rFonts w:ascii="Arial" w:eastAsia="Times New Roman" w:hAnsi="Arial" w:cs="Arial"/>
          <w:color w:val="333333"/>
          <w:sz w:val="30"/>
          <w:szCs w:val="30"/>
        </w:rPr>
        <w:lastRenderedPageBreak/>
        <w:t>Российской Федерации</w:t>
      </w:r>
      <w:r w:rsidRPr="00C83D2D">
        <w:rPr>
          <w:rFonts w:ascii="Arial" w:eastAsia="Times New Roman" w:hAnsi="Arial" w:cs="Arial"/>
          <w:color w:val="333333"/>
          <w:sz w:val="30"/>
          <w:szCs w:val="30"/>
        </w:rPr>
        <w:br/>
        <w:t>от 29 марта 2021 г. N 262</w:t>
      </w:r>
    </w:p>
    <w:p w:rsidR="00B84FE4" w:rsidRPr="00C83D2D" w:rsidRDefault="00B84FE4">
      <w:pPr>
        <w:rPr>
          <w:lang w:val="en-US"/>
        </w:rPr>
      </w:pPr>
    </w:p>
    <w:sectPr w:rsidR="00B84FE4" w:rsidRPr="00C83D2D" w:rsidSect="00DF0C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3D2D"/>
    <w:rsid w:val="00B84FE4"/>
    <w:rsid w:val="00C83D2D"/>
    <w:rsid w:val="00DF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83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D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83D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8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3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3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54794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05479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547946/" TargetMode="External"/><Relationship Id="rId5" Type="http://schemas.openxmlformats.org/officeDocument/2006/relationships/hyperlink" Target="https://www.garant.ru/products/ipo/prime/doc/40054794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rant.ru/products/ipo/prime/doc/40054794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2025-01-13T10:19:00Z</dcterms:created>
  <dcterms:modified xsi:type="dcterms:W3CDTF">2025-01-13T10:34:00Z</dcterms:modified>
</cp:coreProperties>
</file>